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图书馆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党风廉政建设工作开展情况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2023年图书馆党风廉政建设和反腐败工作</w:t>
      </w: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坚持以习近平新时代中国特色社会主义思想为指导，深入学习贯彻党的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大精神，坚持以党的政治建设为统领，担负起党风廉政建设第一责任人职责，带头严格执行廉洁从政各项规定，全面推进党的政治建设、思想建设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、组织建设、作风建设、纪律建设，为开启新时代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图书事业</w:t>
      </w:r>
      <w:r>
        <w:rPr>
          <w:rFonts w:hint="eastAsia" w:ascii="仿宋" w:hAnsi="仿宋" w:eastAsia="仿宋" w:cs="仿宋"/>
          <w:sz w:val="32"/>
          <w:szCs w:val="32"/>
        </w:rPr>
        <w:t>高质量发展提供坚强政治保障和纪律保障。现就有关情况报告如下：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切实履行党风廉政建设主体责任。始终把抓党风廉政建设工作作为重要工作，坚持同图书馆工作同部署、同落实。明确图书馆馆长是履行抓党风廉政建设和反腐败工作第一责任人，每季度向局党组汇报党风廉政建设工作情况。通过党员大会学习等形式，传达学习习近平总书记有关党风廉政建设的重要论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严格执行各项规章制度。贯彻落实“三重一大”制度，凡属“三重一大”事项均按程序提交党组会议集体研究。扎实推动“三务”公开，指定专人负责线上线下公开工作，目前，已按照“三务”公开指导目录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1-3</w:t>
      </w:r>
      <w:r>
        <w:rPr>
          <w:rFonts w:hint="eastAsia" w:ascii="仿宋" w:hAnsi="仿宋" w:eastAsia="仿宋" w:cs="仿宋"/>
          <w:sz w:val="32"/>
          <w:szCs w:val="32"/>
        </w:rPr>
        <w:t>月份线上录入及线下上墙公开。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加强干部队伍作风建设。为切实提高图书馆干部拒腐防变能力，进行集体教育谈话1次。按照《科左中旗文化和旅游系统日常工作开展情况监督考核制度》，每天上报工作日报告，每周上报周报告，每月上报月报告，推动绩效考核工作经常化、规范化、全覆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DRmYmY4MDUxOWYyZTRkNGQ3NjdjZGU3ODdlOTQifQ=="/>
  </w:docVars>
  <w:rsids>
    <w:rsidRoot w:val="255974B8"/>
    <w:rsid w:val="036945AE"/>
    <w:rsid w:val="255974B8"/>
    <w:rsid w:val="7CA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hint="eastAsia"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408</Characters>
  <Lines>0</Lines>
  <Paragraphs>0</Paragraphs>
  <TotalTime>6</TotalTime>
  <ScaleCrop>false</ScaleCrop>
  <LinksUpToDate>false</LinksUpToDate>
  <CharactersWithSpaces>408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2022-11-08T01:19:00Z</dcterms:created>
  <dc:creator>LENOVO</dc:creator>
  <cp:lastModifiedBy>LENOVO</cp:lastModifiedBy>
  <dcterms:modified xsi:type="dcterms:W3CDTF">2023-03-22T09:58:30Z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B1846098CAE544468FD73C5A07F68E0C</vt:lpwstr>
  </property>
</Properties>
</file>