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196"/>
        <w:gridCol w:w="1579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清明节前火灾隐患排查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2023.04.04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清明节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前新风分场组织志愿者小分队对存在</w:t>
            </w:r>
            <w:r>
              <w:rPr>
                <w:rFonts w:hint="eastAsia"/>
                <w:b/>
                <w:sz w:val="24"/>
                <w:szCs w:val="24"/>
              </w:rPr>
              <w:t>祭祖扫墓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情况的地块</w:t>
            </w:r>
            <w:r>
              <w:rPr>
                <w:rFonts w:hint="eastAsia"/>
                <w:b/>
                <w:sz w:val="24"/>
                <w:szCs w:val="24"/>
              </w:rPr>
              <w:t>进行安全巡逻，排查火灾安全隐患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255135" cy="3223895"/>
                  <wp:effectExtent l="0" t="0" r="12065" b="14605"/>
                  <wp:docPr id="1" name="图片 1" descr="68feedd4900803a1c61b016ece11f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8feedd4900803a1c61b016ece11f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135" cy="32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20D96087"/>
    <w:rsid w:val="385A29C0"/>
    <w:rsid w:val="4A14533B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110</Characters>
  <Lines>29</Lines>
  <Paragraphs>8</Paragraphs>
  <TotalTime>6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2023-04-04T02:44:33Z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BA2B8248677A4B7489D25E2B8E92EF7F</vt:lpwstr>
  </property>
</Properties>
</file>