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科左中旗委政法委召开党员大会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左中政法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2023-04-15 18:37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发表于内蒙古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9525000" cy="276225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月14日,科左中旗委政法委机关党支部召开全体党员大会，传达学习《派生国家秘密管理暂行办法》《习近平关于总体国家安全观论述摘编》“三会一课”制度等内容，旗委政法委常务副书记、党支部书记董宝良讲授《高擎伟大旗帜 感悟磅礴伟力 推动党的二十大精神落地生根》专题党课，派驻政法委纪检监察组组长石岩作党风廉政建设专题报告。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0287000" cy="683895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会议强调，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一是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要坚持政治引领，从严治党。深入学习贯彻党的二十大精神，全面加强政法机关党的建设，坚持学习教育常态化、强化党支部建设、落实全面从严治党要求，为政法事业健康发展提供坚强保障。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二是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要严明纪律规矩，强化作风。党支部班子和全体党员干部要严格严守纪律规矩，“自觉践行“守纪律、讲规矩”的要求，坚定理想信念，始终保持忠诚本色和为民宗旨，打造一支严守纪律、作风优良的干部队伍。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三是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要加强开拓创新，再创佳绩。进一步解放思想、科学谋划好2023年党建工作，以高质量党建工作引领政法工作高质量发展。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898383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（金吉仁木图）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0287000" cy="51435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898383"/>
          <w:spacing w:val="8"/>
          <w:sz w:val="22"/>
          <w:szCs w:val="22"/>
          <w:bdr w:val="none" w:color="auto" w:sz="0" w:space="0"/>
          <w:shd w:val="clear" w:fill="FFFFFF"/>
        </w:rPr>
        <w:t>▲会后，全体机关党员干部观看警示教育视频。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ODU1M2I2ZmVlODQ1NjQ3OWM1MzA3ZTY4NjZjNDcifQ=="/>
  </w:docVars>
  <w:rsids>
    <w:rsidRoot w:val="00000000"/>
    <w:rsid w:val="0E91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2023-11-07T08:52:46Z</dcterms:created>
  <dc:creator>123</dc:creator>
  <cp:lastModifiedBy>幻影</cp:lastModifiedBy>
  <dcterms:modified xsi:type="dcterms:W3CDTF">2023-11-07T08:52:59Z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8F06B455D7E24237B5F2F83AC8A1EF2D_12</vt:lpwstr>
  </property>
</Properties>
</file>