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安全生产大排查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2024.1.12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入户商超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新风分场</w:t>
            </w:r>
            <w:r>
              <w:rPr>
                <w:rFonts w:hint="eastAsia"/>
                <w:lang w:val="en-US" w:eastAsia="zh-CN"/>
              </w:rPr>
              <w:t>包联领导和市派驻村第一书记春节前到商超饭店开展安全生产摸排。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3011170"/>
                  <wp:effectExtent l="0" t="0" r="7620" b="17780"/>
                  <wp:docPr id="1" name="图片 1" descr="7bd6d4f24bb06f4b8be978e9d525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d6d4f24bb06f4b8be978e9d5258b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30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23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2024-02-06T01:13:15Z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BA2B8248677A4B7489D25E2B8E92EF7F</vt:lpwstr>
  </property>
</Properties>
</file>