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3390">
      <w:pPr>
        <w:rPr>
          <w:rFonts w:hint="eastAsia" w:eastAsiaTheme="minorEastAsia"/>
          <w:lang w:eastAsia="zh-CN"/>
        </w:rPr>
      </w:pPr>
      <w:r>
        <w:rPr>
          <w:rFonts w:hint="eastAsia"/>
        </w:rPr>
        <w:t>3月17日，代力吉镇敖力布告嘎查党支部开展的“弘扬雷锋精神，争做时代好人”主题党日活动中，镇包点干部深入我嘎查，带头宣讲党的二十大精神、习近平总书记系列重要讲话重要指示精神和雷锋精神，引导所我嘎查村党员全员学，激发党员用理论武装头脑、指导实践。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6fa49f874a0b851e76e63de7e935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a49f874a0b851e76e63de7e935d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265772A1"/>
    <w:rsid w:val="265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2024-10-19T02:19:00Z</dcterms:created>
  <dc:creator>莫向光阴惰寸功</dc:creator>
  <cp:lastModifiedBy>莫向光阴惰寸功</cp:lastModifiedBy>
  <dcterms:modified xsi:type="dcterms:W3CDTF">2024-10-19T02:24:19Z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2C8D9F5C0B9843FDB7EFF9F66118F04F_11</vt:lpwstr>
  </property>
</Properties>
</file>