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yellow"/>
          <w:lang w:val="en-US" w:eastAsia="zh-CN"/>
        </w:rPr>
        <w:t>保安屯村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一张现代化发展蓝图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嘎查村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现代化发展蓝图坚持以习近平新时代中国特色社会主义思想为指导，坚定不移走以生态优先、绿色发展为导向的高质量发展新路子，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2025年底，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嘎查村屯基础设施进一步完善，环境卫生进一步优化，农民民收入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稳步提升，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村民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文明程度显著提高，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生活安居乐业，生活秩序井然有序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经济发展进一步提升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种植结构调整逐步完善，实现集中连片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eastAsia="zh-CN"/>
        </w:rPr>
        <w:t>流转土地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1000亩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eastAsia="zh-CN"/>
        </w:rPr>
        <w:t>，在现有基础上优化灌溉技术；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现有的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eastAsia="zh-CN"/>
        </w:rPr>
        <w:t>500亩林地更新。围封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集体草原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eastAsia="zh-CN"/>
        </w:rPr>
        <w:t>1000亩，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增加集体和农牧民收入。在嘎查村内实施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eastAsia="zh-CN"/>
        </w:rPr>
        <w:t>黄牛改良，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改变原有的半养半牧模式。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二、公共安全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进一步提升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嘎查村网格化管理更加完善，</w:t>
      </w:r>
      <w:r>
        <w:rPr>
          <w:rFonts w:hint="eastAsia" w:ascii="仿宋" w:hAnsi="仿宋" w:eastAsia="仿宋" w:cs="仿宋"/>
          <w:sz w:val="32"/>
          <w:szCs w:val="32"/>
          <w:highlight w:val="yellow"/>
          <w:lang w:eastAsia="zh-CN"/>
        </w:rPr>
        <w:t>常态化开展大走访、大排查、大化解活动，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群众矛盾得到及时化解，嘎查村调解中心发挥作用良好。嘎查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人居环境整治攻坚战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持续</w:t>
      </w:r>
      <w:r>
        <w:rPr>
          <w:rFonts w:hint="eastAsia" w:ascii="仿宋" w:hAnsi="仿宋" w:eastAsia="仿宋" w:cs="仿宋"/>
          <w:sz w:val="32"/>
          <w:szCs w:val="32"/>
          <w:highlight w:val="yellow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村容整洁，主街道安装路灯，村屯绿化达到80%，维修嘎查村断头路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500米，农村生活垃圾管理有效。村屯、耕地排水工程完成。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精神文明建设进一步提升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乡风文明建设更加完善，规范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eastAsia="zh-CN"/>
        </w:rPr>
        <w:t>文化活动室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建设，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eastAsia="zh-CN"/>
        </w:rPr>
        <w:t>维修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嘎查村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eastAsia="zh-CN"/>
        </w:rPr>
        <w:t>篮球场，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好媳妇、好邻居评比常态化，社会主义核心价值观进一步贯彻落实，民族团结更加和谐，群众业余生活更加丰富。开展“民族团结进步示范单位”创建活动。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26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F318B6-0795-4989-99B1-294835C4841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2EB558B6-B113-4886-9875-C6F74A9FDE1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340C101-B7EF-40C0-BD97-110AAC8E9F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AA3732A-6BCB-42D8-9CED-EAB169C573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834FD"/>
    <w:multiLevelType w:val="singleLevel"/>
    <w:tmpl w:val="016834F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OWYyMDE1YjJmMWM5OTNkODQxMzM4MWYxOWNiODkifQ=="/>
  </w:docVars>
  <w:rsids>
    <w:rsidRoot w:val="0EDE4A23"/>
    <w:rsid w:val="0EDE4A23"/>
    <w:rsid w:val="54A5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UserStyle_0"/>
    <w:basedOn w:val="1"/>
    <w:next w:val="6"/>
    <w:autoRedefine/>
    <w:qFormat/>
    <w:uiPriority w:val="0"/>
    <w:pPr>
      <w:spacing w:after="120"/>
      <w:textAlignment w:val="baseline"/>
    </w:pPr>
    <w:rPr>
      <w:sz w:val="16"/>
      <w:szCs w:val="16"/>
    </w:rPr>
  </w:style>
  <w:style w:type="paragraph" w:customStyle="1" w:styleId="6">
    <w:name w:val="UserStyle_1"/>
    <w:basedOn w:val="1"/>
    <w:autoRedefine/>
    <w:qFormat/>
    <w:uiPriority w:val="0"/>
    <w:pPr>
      <w:ind w:left="840" w:hanging="420"/>
      <w:textAlignment w:val="baseline"/>
    </w:pPr>
    <w:rPr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2023-12-28T05:20:00Z</dcterms:created>
  <dc:creator>芦苇英英</dc:creator>
  <cp:lastModifiedBy>陈子剑</cp:lastModifiedBy>
  <dcterms:modified xsi:type="dcterms:W3CDTF">2023-12-28T08:28:21Z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B81D4BDD61EC4440912C665084107148_11</vt:lpwstr>
  </property>
</Properties>
</file>